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F69CF" w14:textId="176424DC" w:rsidR="00834563" w:rsidRDefault="00D46D0E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Recomendaciones HAZOP</w:t>
      </w:r>
    </w:p>
    <w:p w14:paraId="214203FF" w14:textId="77777777" w:rsidR="00FE286D" w:rsidRPr="00FE286D" w:rsidRDefault="00FE286D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8"/>
        <w:gridCol w:w="1078"/>
        <w:gridCol w:w="5200"/>
        <w:gridCol w:w="1632"/>
        <w:gridCol w:w="794"/>
        <w:gridCol w:w="784"/>
        <w:gridCol w:w="788"/>
        <w:gridCol w:w="1082"/>
        <w:gridCol w:w="751"/>
        <w:gridCol w:w="775"/>
        <w:gridCol w:w="1036"/>
      </w:tblGrid>
      <w:tr w:rsidR="00834563" w14:paraId="3E2F5500" w14:textId="77777777" w:rsidTr="00FE286D">
        <w:trPr>
          <w:cantSplit/>
          <w:tblHeader/>
        </w:trPr>
        <w:tc>
          <w:tcPr>
            <w:tcW w:w="758" w:type="dxa"/>
            <w:vMerge w:val="restart"/>
            <w:shd w:val="clear" w:color="auto" w:fill="C0E0FF"/>
            <w:vAlign w:val="center"/>
          </w:tcPr>
          <w:p w14:paraId="0ADAE8C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N° Nodo</w:t>
            </w:r>
          </w:p>
        </w:tc>
        <w:tc>
          <w:tcPr>
            <w:tcW w:w="1078" w:type="dxa"/>
            <w:vMerge w:val="restart"/>
            <w:shd w:val="clear" w:color="auto" w:fill="C0E0FF"/>
            <w:vAlign w:val="center"/>
          </w:tcPr>
          <w:p w14:paraId="0B20746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N° de causa</w:t>
            </w:r>
          </w:p>
        </w:tc>
        <w:tc>
          <w:tcPr>
            <w:tcW w:w="6832" w:type="dxa"/>
            <w:gridSpan w:val="2"/>
            <w:shd w:val="clear" w:color="auto" w:fill="C0E0FF"/>
            <w:vAlign w:val="center"/>
          </w:tcPr>
          <w:p w14:paraId="771D8A8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Recomendaciones</w:t>
            </w:r>
          </w:p>
        </w:tc>
        <w:tc>
          <w:tcPr>
            <w:tcW w:w="794" w:type="dxa"/>
            <w:vMerge w:val="restart"/>
            <w:shd w:val="clear" w:color="auto" w:fill="C0E0FF"/>
            <w:vAlign w:val="center"/>
          </w:tcPr>
          <w:p w14:paraId="435815F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CAT</w:t>
            </w:r>
          </w:p>
        </w:tc>
        <w:tc>
          <w:tcPr>
            <w:tcW w:w="2654" w:type="dxa"/>
            <w:gridSpan w:val="3"/>
            <w:shd w:val="clear" w:color="auto" w:fill="C0E0FF"/>
            <w:vAlign w:val="center"/>
          </w:tcPr>
          <w:p w14:paraId="2550668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Riesgo Actual</w:t>
            </w:r>
          </w:p>
        </w:tc>
        <w:tc>
          <w:tcPr>
            <w:tcW w:w="2562" w:type="dxa"/>
            <w:gridSpan w:val="3"/>
            <w:shd w:val="clear" w:color="auto" w:fill="C0E0FF"/>
            <w:vAlign w:val="center"/>
          </w:tcPr>
          <w:p w14:paraId="187AE85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Riesgo Residual</w:t>
            </w:r>
          </w:p>
        </w:tc>
      </w:tr>
      <w:tr w:rsidR="00834563" w14:paraId="79D5283E" w14:textId="77777777">
        <w:trPr>
          <w:cantSplit/>
          <w:tblHeader/>
        </w:trPr>
        <w:tc>
          <w:tcPr>
            <w:tcW w:w="758" w:type="dxa"/>
            <w:vMerge/>
          </w:tcPr>
          <w:p w14:paraId="38DCB838" w14:textId="77777777" w:rsidR="00834563" w:rsidRDefault="008345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0694004F" w14:textId="77777777" w:rsidR="00834563" w:rsidRDefault="008345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0" w:type="dxa"/>
            <w:shd w:val="clear" w:color="auto" w:fill="C0E0FF"/>
            <w:vAlign w:val="center"/>
          </w:tcPr>
          <w:p w14:paraId="76DC808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Descripción</w:t>
            </w:r>
          </w:p>
        </w:tc>
        <w:tc>
          <w:tcPr>
            <w:tcW w:w="1632" w:type="dxa"/>
            <w:shd w:val="clear" w:color="auto" w:fill="C0E0FF"/>
            <w:vAlign w:val="center"/>
          </w:tcPr>
          <w:p w14:paraId="043AE2B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Responsable</w:t>
            </w:r>
          </w:p>
        </w:tc>
        <w:tc>
          <w:tcPr>
            <w:tcW w:w="794" w:type="dxa"/>
            <w:vMerge/>
          </w:tcPr>
          <w:p w14:paraId="6217E762" w14:textId="77777777" w:rsidR="00834563" w:rsidRDefault="008345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C0E0FF"/>
            <w:vAlign w:val="center"/>
          </w:tcPr>
          <w:p w14:paraId="4A148C3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788" w:type="dxa"/>
            <w:shd w:val="clear" w:color="auto" w:fill="C0E0FF"/>
            <w:vAlign w:val="center"/>
          </w:tcPr>
          <w:p w14:paraId="11531BBB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1082" w:type="dxa"/>
            <w:shd w:val="clear" w:color="auto" w:fill="C0E0FF"/>
            <w:vAlign w:val="center"/>
          </w:tcPr>
          <w:p w14:paraId="3C5B85F0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RA</w:t>
            </w:r>
          </w:p>
        </w:tc>
        <w:tc>
          <w:tcPr>
            <w:tcW w:w="751" w:type="dxa"/>
            <w:shd w:val="clear" w:color="auto" w:fill="C0E0FF"/>
            <w:vAlign w:val="center"/>
          </w:tcPr>
          <w:p w14:paraId="1E2E1A1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775" w:type="dxa"/>
            <w:shd w:val="clear" w:color="auto" w:fill="C0E0FF"/>
            <w:vAlign w:val="center"/>
          </w:tcPr>
          <w:p w14:paraId="69AB85E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1036" w:type="dxa"/>
            <w:shd w:val="clear" w:color="auto" w:fill="C0E0FF"/>
            <w:vAlign w:val="center"/>
          </w:tcPr>
          <w:p w14:paraId="743D96F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RR</w:t>
            </w:r>
          </w:p>
        </w:tc>
      </w:tr>
      <w:tr w:rsidR="00834563" w14:paraId="708E8B44" w14:textId="77777777">
        <w:tc>
          <w:tcPr>
            <w:tcW w:w="758" w:type="dxa"/>
            <w:vMerge w:val="restart"/>
          </w:tcPr>
          <w:p w14:paraId="0175BA7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078" w:type="dxa"/>
            <w:vMerge w:val="restart"/>
          </w:tcPr>
          <w:p w14:paraId="1C7EA539" w14:textId="77777777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2.1.1. 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D46D0E" w:rsidRPr="00044B68" w14:paraId="7F032761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1952E36" w14:textId="77777777" w:rsidR="00834563" w:rsidRPr="00044B68" w:rsidRDefault="00D46D0E">
                  <w:pPr>
                    <w:spacing w:before="6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044B68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1.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A9CEF" w14:textId="77777777" w:rsidR="00834563" w:rsidRPr="00044B68" w:rsidRDefault="00D46D0E">
                  <w:pPr>
                    <w:spacing w:before="60"/>
                    <w:rPr>
                      <w:rFonts w:ascii="Arial" w:hAnsi="Arial" w:cs="Arial"/>
                      <w:color w:val="FF0000"/>
                      <w:sz w:val="18"/>
                      <w:szCs w:val="18"/>
                      <w:lang w:val="es-AR"/>
                    </w:rPr>
                  </w:pPr>
                  <w:r w:rsidRPr="00044B68">
                    <w:rPr>
                      <w:rFonts w:ascii="Arial" w:hAnsi="Arial" w:cs="Arial"/>
                      <w:color w:val="FF0000"/>
                      <w:sz w:val="18"/>
                      <w:szCs w:val="18"/>
                      <w:lang w:val="es-AR"/>
                    </w:rPr>
                    <w:t>Verificar y modificar en P&amp;ID el paro de compresor UCG-04 por muy alta presión de descarga (En P&amp;ID se indica como PALL-1122)</w:t>
                  </w:r>
                </w:p>
              </w:tc>
            </w:tr>
          </w:tbl>
          <w:p w14:paraId="49EE51C4" w14:textId="77777777" w:rsidR="00834563" w:rsidRPr="00044B68" w:rsidRDefault="00D46D0E">
            <w:pPr>
              <w:spacing w:after="60"/>
              <w:rPr>
                <w:rFonts w:ascii="Arial" w:hAnsi="Arial" w:cs="Arial"/>
                <w:b/>
                <w:color w:val="FF0000"/>
                <w:sz w:val="18"/>
                <w:szCs w:val="18"/>
                <w:lang w:val="es-AR"/>
              </w:rPr>
            </w:pPr>
            <w:r w:rsidRPr="00044B68">
              <w:rPr>
                <w:noProof/>
                <w:color w:val="FF0000"/>
                <w:sz w:val="18"/>
                <w:szCs w:val="18"/>
                <w:lang w:val="es-BO" w:eastAsia="es-BO"/>
              </w:rPr>
              <w:drawing>
                <wp:inline distT="0" distB="0" distL="0" distR="0" wp14:anchorId="31BAA471" wp14:editId="74D2F398">
                  <wp:extent cx="942660" cy="167751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990" cy="1688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44B68">
              <w:rPr>
                <w:rFonts w:ascii="Arial" w:hAnsi="Arial" w:cs="Arial"/>
                <w:color w:val="FF0000"/>
                <w:sz w:val="18"/>
                <w:szCs w:val="18"/>
                <w:lang w:val="es-AR"/>
              </w:rPr>
              <w:t xml:space="preserve"> </w:t>
            </w:r>
            <w:r w:rsidRPr="00044B68">
              <w:rPr>
                <w:rFonts w:ascii="Arial" w:hAnsi="Arial" w:cs="Arial"/>
                <w:b/>
                <w:color w:val="FF0000"/>
                <w:sz w:val="18"/>
                <w:szCs w:val="18"/>
                <w:lang w:val="es-AR"/>
              </w:rPr>
              <w:t>NO SE ATENDIÓ</w:t>
            </w:r>
          </w:p>
          <w:p w14:paraId="6E17C61D" w14:textId="77777777" w:rsidR="00044B68" w:rsidRDefault="00044B68" w:rsidP="00044B68">
            <w:pPr>
              <w:spacing w:after="60"/>
              <w:rPr>
                <w:rFonts w:ascii="Arial" w:hAnsi="Arial" w:cs="Arial"/>
                <w:b/>
                <w:bCs/>
                <w:color w:val="002060"/>
                <w:sz w:val="18"/>
                <w:szCs w:val="18"/>
                <w:lang w:val="es-BO"/>
              </w:rPr>
            </w:pPr>
            <w:r w:rsidRPr="00044B68">
              <w:rPr>
                <w:rFonts w:ascii="Arial" w:hAnsi="Arial" w:cs="Arial"/>
                <w:b/>
                <w:color w:val="002060"/>
                <w:sz w:val="18"/>
                <w:szCs w:val="18"/>
                <w:lang w:val="es-AR"/>
              </w:rPr>
              <w:t xml:space="preserve">Se atendó la recomendación en la Rev. 0 del P&amp;ID y se incluyó la siguiente nota: </w:t>
            </w:r>
            <w:r w:rsidRPr="00044B68">
              <w:rPr>
                <w:rFonts w:ascii="Arial" w:hAnsi="Arial" w:cs="Arial"/>
                <w:b/>
                <w:bCs/>
                <w:color w:val="002060"/>
                <w:sz w:val="18"/>
                <w:szCs w:val="18"/>
                <w:lang w:val="es-BO"/>
              </w:rPr>
              <w:t>8. En la etapa de construcción, el contratista, junto con el integrador, deberá modificar la alarma del PT-1122 a PAHH en la descarga del compresor de la UCG-04.</w:t>
            </w:r>
          </w:p>
          <w:p w14:paraId="370ABB09" w14:textId="2DD4E92E" w:rsidR="00044B68" w:rsidRPr="00044B68" w:rsidRDefault="00044B68" w:rsidP="00044B68">
            <w:pPr>
              <w:spacing w:after="60"/>
              <w:rPr>
                <w:rFonts w:ascii="Arial" w:hAnsi="Arial" w:cs="Arial"/>
                <w:b/>
                <w:bCs/>
                <w:color w:val="002060"/>
                <w:sz w:val="18"/>
                <w:szCs w:val="18"/>
                <w:lang w:val="es-BO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C0252C4" wp14:editId="602E06DD">
                  <wp:extent cx="3289300" cy="1845310"/>
                  <wp:effectExtent l="0" t="0" r="6350" b="254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9300" cy="1845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2" w:type="dxa"/>
            <w:vMerge w:val="restart"/>
          </w:tcPr>
          <w:p w14:paraId="31B6196B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IPE</w:t>
            </w:r>
          </w:p>
        </w:tc>
        <w:tc>
          <w:tcPr>
            <w:tcW w:w="794" w:type="dxa"/>
            <w:shd w:val="clear" w:color="auto" w:fill="E0E0E0"/>
          </w:tcPr>
          <w:p w14:paraId="31F9ECD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5C00058A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07E16EA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FFFF00"/>
          </w:tcPr>
          <w:p w14:paraId="6E5DD4C0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20B7C7C8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5" w:type="dxa"/>
          </w:tcPr>
          <w:p w14:paraId="45780B3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FFFF00"/>
          </w:tcPr>
          <w:p w14:paraId="2953025E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  <w:tr w:rsidR="00834563" w14:paraId="25CEB9AC" w14:textId="77777777">
        <w:tc>
          <w:tcPr>
            <w:tcW w:w="758" w:type="dxa"/>
            <w:vMerge/>
          </w:tcPr>
          <w:p w14:paraId="2781959B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31553659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2D12C269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43B8F3F6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2973F89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784" w:type="dxa"/>
          </w:tcPr>
          <w:p w14:paraId="611472A0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687E3FA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4E5E1B6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0B4F124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737D9E1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35269FD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67605F86" w14:textId="77777777">
        <w:tc>
          <w:tcPr>
            <w:tcW w:w="758" w:type="dxa"/>
            <w:vMerge/>
          </w:tcPr>
          <w:p w14:paraId="06B5C8AA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06DFD8AF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54886A85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106B4BF5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7F4DAF1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62433BA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4854735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6AD9021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2231ABA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66941A2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5ABB881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223F62B9" w14:textId="77777777">
        <w:tc>
          <w:tcPr>
            <w:tcW w:w="758" w:type="dxa"/>
            <w:vMerge w:val="restart"/>
          </w:tcPr>
          <w:p w14:paraId="773D85F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078" w:type="dxa"/>
            <w:vMerge w:val="restart"/>
          </w:tcPr>
          <w:p w14:paraId="0E4989B0" w14:textId="086F9916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2.1.1. </w:t>
            </w:r>
            <w:r w:rsidR="00FE286D">
              <w:rPr>
                <w:rFonts w:ascii="Arial" w:hAnsi="Arial" w:cs="Arial"/>
                <w:sz w:val="16"/>
                <w:szCs w:val="16"/>
              </w:rPr>
              <w:t>; 2.1.2.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044B68" w14:paraId="1D1694E9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633CB87" w14:textId="77777777" w:rsidR="00834563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2.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3C26C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Verificar y modificar set de válvula de alivio VAS-169 y set de paro por alta presión (PAHH-1122) para protección de las líneas (#600) de la estación</w:t>
                  </w:r>
                </w:p>
              </w:tc>
            </w:tr>
          </w:tbl>
          <w:p w14:paraId="065B62E0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7AECCFA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YPFB TR</w:t>
            </w:r>
          </w:p>
        </w:tc>
        <w:tc>
          <w:tcPr>
            <w:tcW w:w="794" w:type="dxa"/>
            <w:shd w:val="clear" w:color="auto" w:fill="E0E0E0"/>
          </w:tcPr>
          <w:p w14:paraId="69E69D1E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4F26804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13152C9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FFFF00"/>
          </w:tcPr>
          <w:p w14:paraId="2E5B96A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0AAF9F0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5" w:type="dxa"/>
          </w:tcPr>
          <w:p w14:paraId="0E74638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FFFF00"/>
          </w:tcPr>
          <w:p w14:paraId="221BDEC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  <w:tr w:rsidR="00834563" w14:paraId="371AC5E3" w14:textId="77777777">
        <w:tc>
          <w:tcPr>
            <w:tcW w:w="758" w:type="dxa"/>
            <w:vMerge/>
          </w:tcPr>
          <w:p w14:paraId="74BB1D88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4968F1CD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5A112801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5F3882BB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15FC2E0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784" w:type="dxa"/>
          </w:tcPr>
          <w:p w14:paraId="067DAFB0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1EC9A5D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38EB033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2AE728FA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011BCA0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2223164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10820F3C" w14:textId="77777777">
        <w:tc>
          <w:tcPr>
            <w:tcW w:w="758" w:type="dxa"/>
            <w:vMerge/>
          </w:tcPr>
          <w:p w14:paraId="192672DE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73115EE6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7C729CDB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53F86EC6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7CBE8D7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354567B8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42A8C9E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60563E0A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6796FC6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265D84B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6CB901A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6BB554F4" w14:textId="77777777">
        <w:tc>
          <w:tcPr>
            <w:tcW w:w="758" w:type="dxa"/>
            <w:vMerge w:val="restart"/>
          </w:tcPr>
          <w:p w14:paraId="7DD5C9A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078" w:type="dxa"/>
            <w:vMerge w:val="restart"/>
          </w:tcPr>
          <w:p w14:paraId="0DA556B2" w14:textId="77777777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2.1.3. 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044B68" w14:paraId="57F78E8E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AFBB479" w14:textId="77777777" w:rsidR="00834563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3.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73636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Implementar uso de candado en válvula manual 8020 de alivio al venteo, según procedimiento interno de YPFB TR, e indicar cambio de serie en XV-152 y en VAS-169</w:t>
                  </w:r>
                </w:p>
              </w:tc>
            </w:tr>
          </w:tbl>
          <w:p w14:paraId="4F24CEBA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521B9A0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YPFB TR / IPE</w:t>
            </w:r>
          </w:p>
        </w:tc>
        <w:tc>
          <w:tcPr>
            <w:tcW w:w="794" w:type="dxa"/>
            <w:shd w:val="clear" w:color="auto" w:fill="E0E0E0"/>
          </w:tcPr>
          <w:p w14:paraId="07F1AE7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5DBE67CA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6CA08D7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FFFF00"/>
          </w:tcPr>
          <w:p w14:paraId="665F18D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6947F200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5" w:type="dxa"/>
          </w:tcPr>
          <w:p w14:paraId="081BCF4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FFFF00"/>
          </w:tcPr>
          <w:p w14:paraId="2DECACFE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  <w:tr w:rsidR="00834563" w14:paraId="09F76964" w14:textId="77777777">
        <w:tc>
          <w:tcPr>
            <w:tcW w:w="758" w:type="dxa"/>
            <w:vMerge/>
          </w:tcPr>
          <w:p w14:paraId="2688F5D3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F4B69C1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3B25039B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160819C4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4FD1407B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784" w:type="dxa"/>
          </w:tcPr>
          <w:p w14:paraId="29A3851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0135144E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6C58A51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1FC32CE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1D9E06AA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5272677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1F6B5B4" w14:textId="77777777">
        <w:tc>
          <w:tcPr>
            <w:tcW w:w="758" w:type="dxa"/>
            <w:vMerge/>
          </w:tcPr>
          <w:p w14:paraId="7392E729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5BAF4D2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504F0FE7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0421F52D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25C7742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6FC097FE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4A93ED9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280DF57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3A8DF67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7335548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5FF981D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1C4F19A4" w14:textId="77777777">
        <w:tc>
          <w:tcPr>
            <w:tcW w:w="758" w:type="dxa"/>
            <w:vMerge w:val="restart"/>
          </w:tcPr>
          <w:p w14:paraId="70A56E6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1078" w:type="dxa"/>
            <w:vMerge w:val="restart"/>
          </w:tcPr>
          <w:p w14:paraId="1588CE6C" w14:textId="77777777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3.13.1.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044B68" w14:paraId="0E2E32F6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C63B26B" w14:textId="77777777" w:rsidR="00834563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4.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07AA7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Instalar doble bloqueo en purgas de cabezales de succión y descarga de compresores</w:t>
                  </w:r>
                </w:p>
              </w:tc>
            </w:tr>
          </w:tbl>
          <w:p w14:paraId="1D65B620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6208AA4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0179A95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3362E50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73F9C0CB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4F66235E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1C67B9D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525268FE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3E92AEF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2B21C2E4" w14:textId="77777777">
        <w:tc>
          <w:tcPr>
            <w:tcW w:w="758" w:type="dxa"/>
            <w:vMerge/>
          </w:tcPr>
          <w:p w14:paraId="21976F3D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499335A6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2F7E0DE1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11E72BC9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6C87769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23DD5E0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7E6C8D4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2575B89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30381968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7333715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1790DAA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6319307" w14:textId="77777777">
        <w:tc>
          <w:tcPr>
            <w:tcW w:w="758" w:type="dxa"/>
          </w:tcPr>
          <w:p w14:paraId="493E667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1078" w:type="dxa"/>
          </w:tcPr>
          <w:p w14:paraId="79EDC190" w14:textId="77777777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3.13.2.</w:t>
            </w:r>
          </w:p>
        </w:tc>
        <w:tc>
          <w:tcPr>
            <w:tcW w:w="5200" w:type="dxa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044B68" w14:paraId="674688DB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127A574" w14:textId="77777777" w:rsidR="00834563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5.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31B98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Reubicar figura 8 en línea de succión de compresor UCG-05 aguas abajo a ESDV-0500</w:t>
                  </w:r>
                </w:p>
              </w:tc>
            </w:tr>
          </w:tbl>
          <w:p w14:paraId="17FD3651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</w:tcPr>
          <w:p w14:paraId="6819857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3621D70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4B424B1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494738E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082" w:type="dxa"/>
            <w:shd w:val="clear" w:color="auto" w:fill="0080C0"/>
          </w:tcPr>
          <w:p w14:paraId="4C5F9CD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0B109530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163804F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7E22555B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5C5F549" w14:textId="77777777">
        <w:tc>
          <w:tcPr>
            <w:tcW w:w="758" w:type="dxa"/>
          </w:tcPr>
          <w:p w14:paraId="36E2168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078" w:type="dxa"/>
          </w:tcPr>
          <w:p w14:paraId="1A8758F1" w14:textId="77777777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4.13.1.</w:t>
            </w:r>
          </w:p>
        </w:tc>
        <w:tc>
          <w:tcPr>
            <w:tcW w:w="5200" w:type="dxa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044B68" w14:paraId="1590179B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56BE0DA" w14:textId="77777777" w:rsidR="00834563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6.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DFA17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Reubicar figura 8 en línea de descarga de compresor UCG-05 aguas arriba a ESDV-0502</w:t>
                  </w:r>
                </w:p>
              </w:tc>
            </w:tr>
          </w:tbl>
          <w:p w14:paraId="53E64137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</w:tcPr>
          <w:p w14:paraId="4360C5C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728F50BB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7F190B0B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7EC9A19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082" w:type="dxa"/>
            <w:shd w:val="clear" w:color="auto" w:fill="0080C0"/>
          </w:tcPr>
          <w:p w14:paraId="18496D7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53F9EE1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36308DA0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7FB60AB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35C28A5" w14:textId="77777777">
        <w:tc>
          <w:tcPr>
            <w:tcW w:w="758" w:type="dxa"/>
            <w:vMerge w:val="restart"/>
          </w:tcPr>
          <w:p w14:paraId="165FAD1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078" w:type="dxa"/>
            <w:vMerge w:val="restart"/>
          </w:tcPr>
          <w:p w14:paraId="6F800E57" w14:textId="30C6DCE7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4.1.1. </w:t>
            </w:r>
            <w:r w:rsidR="00FE286D">
              <w:rPr>
                <w:rFonts w:ascii="Arial" w:hAnsi="Arial" w:cs="Arial"/>
                <w:sz w:val="16"/>
                <w:szCs w:val="16"/>
              </w:rPr>
              <w:t>; 4.1.2.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044B68" w14:paraId="330A579B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EB30848" w14:textId="77777777" w:rsidR="00834563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7.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1828E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Verificar y modificar set de válvula de alivio PSV-2320 y set de paro por alta presión (PAHH-2303) para protección de las líneas (#600) de la estación</w:t>
                  </w:r>
                </w:p>
              </w:tc>
            </w:tr>
          </w:tbl>
          <w:p w14:paraId="2ECF9CDE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6DC1B608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YPFB TR</w:t>
            </w:r>
          </w:p>
        </w:tc>
        <w:tc>
          <w:tcPr>
            <w:tcW w:w="794" w:type="dxa"/>
            <w:shd w:val="clear" w:color="auto" w:fill="E0E0E0"/>
          </w:tcPr>
          <w:p w14:paraId="3B71326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00A6E5F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1DD0308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FFFF00"/>
          </w:tcPr>
          <w:p w14:paraId="56E3A7E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76AD38F8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5" w:type="dxa"/>
          </w:tcPr>
          <w:p w14:paraId="6E6F87C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FFFF00"/>
          </w:tcPr>
          <w:p w14:paraId="47B845D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  <w:tr w:rsidR="00834563" w14:paraId="4CE1431F" w14:textId="77777777">
        <w:tc>
          <w:tcPr>
            <w:tcW w:w="758" w:type="dxa"/>
            <w:vMerge/>
          </w:tcPr>
          <w:p w14:paraId="018FE5C3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086E1693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0264C9BE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6F9C2FD0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55E3201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784" w:type="dxa"/>
          </w:tcPr>
          <w:p w14:paraId="0552B2F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50A7EEA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557AE5AA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66C98DA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5D4C839B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5B61AAC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0A34EBC7" w14:textId="77777777">
        <w:tc>
          <w:tcPr>
            <w:tcW w:w="758" w:type="dxa"/>
            <w:vMerge/>
          </w:tcPr>
          <w:p w14:paraId="78D8EA41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349FB254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6D891DF3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404EE086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2D08483A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31C7A0DA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8" w:type="dxa"/>
          </w:tcPr>
          <w:p w14:paraId="5272A57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13435B2B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51" w:type="dxa"/>
          </w:tcPr>
          <w:p w14:paraId="1A0D414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14:paraId="098E5DF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35B8B64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:rsidRPr="00D46D0E" w14:paraId="06490B88" w14:textId="77777777">
        <w:tc>
          <w:tcPr>
            <w:tcW w:w="758" w:type="dxa"/>
            <w:vMerge w:val="restart"/>
          </w:tcPr>
          <w:p w14:paraId="23CEE1A8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078" w:type="dxa"/>
            <w:vMerge w:val="restart"/>
          </w:tcPr>
          <w:p w14:paraId="52B3B209" w14:textId="77777777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4.1.3. </w:t>
            </w:r>
          </w:p>
        </w:tc>
        <w:tc>
          <w:tcPr>
            <w:tcW w:w="5200" w:type="dxa"/>
            <w:vMerge w:val="restart"/>
          </w:tcPr>
          <w:tbl>
            <w:tblPr>
              <w:tblStyle w:val="Tablaconcuadrcula"/>
              <w:tblW w:w="518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71"/>
              <w:gridCol w:w="2558"/>
              <w:gridCol w:w="15"/>
            </w:tblGrid>
            <w:tr w:rsidR="00834563" w:rsidRPr="00044B68" w14:paraId="3890B6B3" w14:textId="77777777" w:rsidTr="00D46D0E">
              <w:tc>
                <w:tcPr>
                  <w:tcW w:w="185" w:type="dxa"/>
                  <w:noWrap/>
                </w:tcPr>
                <w:p w14:paraId="52C1F276" w14:textId="77777777" w:rsidR="00834563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8. </w:t>
                  </w:r>
                </w:p>
              </w:tc>
              <w:tc>
                <w:tcPr>
                  <w:tcW w:w="4995" w:type="dxa"/>
                  <w:gridSpan w:val="3"/>
                </w:tcPr>
                <w:p w14:paraId="757F87FC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Implementar uso de candado en válvula manual 8023 de alivio al venteo, según procedimiento interno de YPFB TR</w:t>
                  </w:r>
                  <w:r w:rsidRPr="00D46D0E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s-AR"/>
                    </w:rPr>
                    <w:t>, e indicar cambio</w:t>
                  </w: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 xml:space="preserve"> </w:t>
                  </w:r>
                  <w:r w:rsidRPr="00D46D0E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s-AR"/>
                    </w:rPr>
                    <w:t>de serie en EBDV-2304 (Indicar como FO) y en PSV-2320</w:t>
                  </w:r>
                </w:p>
              </w:tc>
            </w:tr>
            <w:tr w:rsidR="00D46D0E" w14:paraId="5BE22320" w14:textId="77777777" w:rsidTr="00D46D0E">
              <w:trPr>
                <w:gridAfter w:val="1"/>
                <w:wAfter w:w="10" w:type="dxa"/>
              </w:trPr>
              <w:tc>
                <w:tcPr>
                  <w:tcW w:w="2582" w:type="dxa"/>
                  <w:gridSpan w:val="2"/>
                </w:tcPr>
                <w:p w14:paraId="1DEE66DB" w14:textId="6E1BA817" w:rsidR="00D46D0E" w:rsidRDefault="00D46D0E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>
                    <w:rPr>
                      <w:noProof/>
                      <w:lang w:val="es-BO" w:eastAsia="es-BO"/>
                    </w:rPr>
                    <w:drawing>
                      <wp:inline distT="0" distB="0" distL="0" distR="0" wp14:anchorId="360C7C35" wp14:editId="771D04FF">
                        <wp:extent cx="682309" cy="492826"/>
                        <wp:effectExtent l="0" t="0" r="0" b="0"/>
                        <wp:docPr id="3" name="Imagen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1175" cy="5064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 xml:space="preserve"> </w:t>
                  </w:r>
                  <w:r>
                    <w:rPr>
                      <w:noProof/>
                      <w:lang w:val="es-BO" w:eastAsia="es-BO"/>
                    </w:rPr>
                    <w:drawing>
                      <wp:inline distT="0" distB="0" distL="0" distR="0" wp14:anchorId="3F5A8339" wp14:editId="30E93AEB">
                        <wp:extent cx="799347" cy="574353"/>
                        <wp:effectExtent l="0" t="0" r="0" b="0"/>
                        <wp:docPr id="2" name="Imagen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7874" cy="580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83" w:type="dxa"/>
                </w:tcPr>
                <w:p w14:paraId="5DECAE28" w14:textId="29F655E5" w:rsidR="00D46D0E" w:rsidRDefault="00D46D0E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>
                    <w:rPr>
                      <w:noProof/>
                      <w:lang w:val="es-BO" w:eastAsia="es-BO"/>
                    </w:rPr>
                    <w:drawing>
                      <wp:inline distT="0" distB="0" distL="0" distR="0" wp14:anchorId="18B15E48" wp14:editId="677AC233">
                        <wp:extent cx="604299" cy="623483"/>
                        <wp:effectExtent l="0" t="0" r="5715" b="5715"/>
                        <wp:docPr id="4" name="Imagen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7416" cy="6266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es-BO" w:eastAsia="es-BO"/>
                    </w:rPr>
                    <w:drawing>
                      <wp:inline distT="0" distB="0" distL="0" distR="0" wp14:anchorId="6A49FED7" wp14:editId="33C27757">
                        <wp:extent cx="644055" cy="496842"/>
                        <wp:effectExtent l="0" t="0" r="3810" b="0"/>
                        <wp:docPr id="5" name="Imagen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2662" cy="5034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46D0E" w14:paraId="4AFEFF70" w14:textId="77777777" w:rsidTr="00D46D0E">
              <w:trPr>
                <w:gridAfter w:val="1"/>
                <w:wAfter w:w="10" w:type="dxa"/>
              </w:trPr>
              <w:tc>
                <w:tcPr>
                  <w:tcW w:w="2582" w:type="dxa"/>
                  <w:gridSpan w:val="2"/>
                </w:tcPr>
                <w:p w14:paraId="1621EB8F" w14:textId="35BC66D9" w:rsidR="00D46D0E" w:rsidRPr="00D46D0E" w:rsidRDefault="00D46D0E">
                  <w:pPr>
                    <w:spacing w:after="60"/>
                    <w:rPr>
                      <w:rFonts w:ascii="Arial" w:hAnsi="Arial" w:cs="Arial"/>
                      <w:color w:val="FF0000"/>
                      <w:sz w:val="16"/>
                      <w:szCs w:val="16"/>
                      <w:lang w:val="es-AR"/>
                    </w:rPr>
                  </w:pPr>
                  <w:r w:rsidRPr="00D46D0E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s-AR"/>
                    </w:rPr>
                    <w:t>De P&amp;ID 02 de 07 Rev. D</w:t>
                  </w:r>
                </w:p>
              </w:tc>
              <w:tc>
                <w:tcPr>
                  <w:tcW w:w="2583" w:type="dxa"/>
                </w:tcPr>
                <w:p w14:paraId="2E569781" w14:textId="08C36EEE" w:rsidR="00D46D0E" w:rsidRPr="00D46D0E" w:rsidRDefault="00D46D0E">
                  <w:pPr>
                    <w:spacing w:after="60"/>
                    <w:rPr>
                      <w:rFonts w:ascii="Arial" w:hAnsi="Arial" w:cs="Arial"/>
                      <w:noProof/>
                      <w:color w:val="FF0000"/>
                      <w:sz w:val="16"/>
                      <w:lang w:val="es-BO" w:eastAsia="es-BO"/>
                    </w:rPr>
                  </w:pPr>
                  <w:r w:rsidRPr="00D46D0E">
                    <w:rPr>
                      <w:rFonts w:ascii="Arial" w:hAnsi="Arial" w:cs="Arial"/>
                      <w:noProof/>
                      <w:color w:val="FF0000"/>
                      <w:sz w:val="16"/>
                      <w:lang w:val="es-BO" w:eastAsia="es-BO"/>
                    </w:rPr>
                    <w:t>Del Manual de Operacion</w:t>
                  </w:r>
                </w:p>
              </w:tc>
            </w:tr>
            <w:tr w:rsidR="00D46D0E" w:rsidRPr="00044B68" w14:paraId="3D08DB64" w14:textId="77777777" w:rsidTr="00D46D0E">
              <w:trPr>
                <w:gridAfter w:val="1"/>
                <w:wAfter w:w="10" w:type="dxa"/>
              </w:trPr>
              <w:tc>
                <w:tcPr>
                  <w:tcW w:w="2582" w:type="dxa"/>
                  <w:gridSpan w:val="2"/>
                </w:tcPr>
                <w:p w14:paraId="6D1FA442" w14:textId="6D146CB8" w:rsidR="00D46D0E" w:rsidRPr="00D46D0E" w:rsidRDefault="00D46D0E">
                  <w:pPr>
                    <w:spacing w:after="60"/>
                    <w:rPr>
                      <w:rFonts w:ascii="Arial" w:hAnsi="Arial" w:cs="Arial"/>
                      <w:color w:val="FF0000"/>
                      <w:sz w:val="16"/>
                      <w:szCs w:val="16"/>
                      <w:lang w:val="es-AR"/>
                    </w:rPr>
                  </w:pPr>
                  <w:r w:rsidRPr="00D46D0E">
                    <w:rPr>
                      <w:rFonts w:ascii="Arial" w:hAnsi="Arial" w:cs="Arial"/>
                      <w:b/>
                      <w:color w:val="FF0000"/>
                      <w:sz w:val="18"/>
                      <w:szCs w:val="16"/>
                      <w:lang w:val="es-AR"/>
                    </w:rPr>
                    <w:t>NO SE ATENDIÓ</w:t>
                  </w:r>
                </w:p>
              </w:tc>
              <w:tc>
                <w:tcPr>
                  <w:tcW w:w="2583" w:type="dxa"/>
                </w:tcPr>
                <w:p w14:paraId="71ED70AF" w14:textId="03BF666A" w:rsidR="00D46D0E" w:rsidRPr="00044B68" w:rsidRDefault="00044B68">
                  <w:pPr>
                    <w:spacing w:after="60"/>
                    <w:rPr>
                      <w:rFonts w:ascii="Arial" w:hAnsi="Arial" w:cs="Arial"/>
                      <w:b/>
                      <w:bCs/>
                      <w:noProof/>
                      <w:color w:val="002060"/>
                      <w:sz w:val="16"/>
                      <w:lang w:val="es-BO" w:eastAsia="es-BO"/>
                    </w:rPr>
                  </w:pPr>
                  <w:r w:rsidRPr="00044B68">
                    <w:rPr>
                      <w:rFonts w:ascii="Arial" w:hAnsi="Arial" w:cs="Arial"/>
                      <w:b/>
                      <w:bCs/>
                      <w:noProof/>
                      <w:color w:val="002060"/>
                      <w:sz w:val="18"/>
                      <w:szCs w:val="28"/>
                      <w:lang w:val="es-BO" w:eastAsia="es-BO"/>
                    </w:rPr>
                    <w:t>Seatendió la recomentación en la Rev. 0</w:t>
                  </w:r>
                </w:p>
              </w:tc>
            </w:tr>
          </w:tbl>
          <w:p w14:paraId="22BDB716" w14:textId="28F413DB" w:rsidR="00D46D0E" w:rsidRPr="00FE286D" w:rsidRDefault="00044B68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  <w:r>
              <w:rPr>
                <w:noProof/>
              </w:rPr>
              <w:drawing>
                <wp:inline distT="0" distB="0" distL="0" distR="0" wp14:anchorId="36AA7D1E" wp14:editId="458EC974">
                  <wp:extent cx="3289300" cy="2085975"/>
                  <wp:effectExtent l="0" t="0" r="6350" b="9525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9300" cy="208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2" w:type="dxa"/>
            <w:vMerge w:val="restart"/>
          </w:tcPr>
          <w:p w14:paraId="63259A76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YPFB TR / IPE</w:t>
            </w:r>
          </w:p>
        </w:tc>
        <w:tc>
          <w:tcPr>
            <w:tcW w:w="794" w:type="dxa"/>
            <w:shd w:val="clear" w:color="auto" w:fill="E0E0E0"/>
          </w:tcPr>
          <w:p w14:paraId="34A3880B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b/>
                <w:bCs/>
                <w:sz w:val="16"/>
                <w:szCs w:val="16"/>
                <w:lang w:val="es-BO"/>
              </w:rPr>
              <w:t>P</w:t>
            </w:r>
          </w:p>
        </w:tc>
        <w:tc>
          <w:tcPr>
            <w:tcW w:w="784" w:type="dxa"/>
          </w:tcPr>
          <w:p w14:paraId="00A6EC69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5</w:t>
            </w:r>
          </w:p>
        </w:tc>
        <w:tc>
          <w:tcPr>
            <w:tcW w:w="788" w:type="dxa"/>
          </w:tcPr>
          <w:p w14:paraId="1EC82687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B</w:t>
            </w:r>
          </w:p>
        </w:tc>
        <w:tc>
          <w:tcPr>
            <w:tcW w:w="1082" w:type="dxa"/>
            <w:shd w:val="clear" w:color="auto" w:fill="FFFF00"/>
          </w:tcPr>
          <w:p w14:paraId="7F7ACD3A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M</w:t>
            </w:r>
          </w:p>
        </w:tc>
        <w:tc>
          <w:tcPr>
            <w:tcW w:w="751" w:type="dxa"/>
          </w:tcPr>
          <w:p w14:paraId="25201AA7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5</w:t>
            </w:r>
          </w:p>
        </w:tc>
        <w:tc>
          <w:tcPr>
            <w:tcW w:w="775" w:type="dxa"/>
          </w:tcPr>
          <w:p w14:paraId="5BAB3C2D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A</w:t>
            </w:r>
          </w:p>
        </w:tc>
        <w:tc>
          <w:tcPr>
            <w:tcW w:w="1036" w:type="dxa"/>
            <w:shd w:val="clear" w:color="auto" w:fill="FFFF00"/>
          </w:tcPr>
          <w:p w14:paraId="53307D70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M</w:t>
            </w:r>
          </w:p>
        </w:tc>
      </w:tr>
      <w:tr w:rsidR="00834563" w:rsidRPr="00D46D0E" w14:paraId="1D24B5B6" w14:textId="77777777">
        <w:tc>
          <w:tcPr>
            <w:tcW w:w="758" w:type="dxa"/>
            <w:vMerge/>
          </w:tcPr>
          <w:p w14:paraId="3B4C0BB7" w14:textId="77777777" w:rsidR="00834563" w:rsidRPr="00D46D0E" w:rsidRDefault="00834563">
            <w:pPr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078" w:type="dxa"/>
            <w:vMerge/>
          </w:tcPr>
          <w:p w14:paraId="6F6A44DE" w14:textId="77777777" w:rsidR="00834563" w:rsidRPr="00D46D0E" w:rsidRDefault="00834563">
            <w:pPr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5200" w:type="dxa"/>
            <w:vMerge/>
          </w:tcPr>
          <w:p w14:paraId="5AE0ED3C" w14:textId="77777777" w:rsidR="00834563" w:rsidRPr="00D46D0E" w:rsidRDefault="00834563">
            <w:pPr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632" w:type="dxa"/>
            <w:vMerge/>
          </w:tcPr>
          <w:p w14:paraId="01FA08EB" w14:textId="77777777" w:rsidR="00834563" w:rsidRPr="00D46D0E" w:rsidRDefault="00834563">
            <w:pPr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794" w:type="dxa"/>
            <w:shd w:val="clear" w:color="auto" w:fill="E0E0E0"/>
          </w:tcPr>
          <w:p w14:paraId="7034C4FC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b/>
                <w:bCs/>
                <w:sz w:val="16"/>
                <w:szCs w:val="16"/>
                <w:lang w:val="es-BO"/>
              </w:rPr>
              <w:t>M</w:t>
            </w:r>
          </w:p>
        </w:tc>
        <w:tc>
          <w:tcPr>
            <w:tcW w:w="784" w:type="dxa"/>
          </w:tcPr>
          <w:p w14:paraId="3375D86F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2</w:t>
            </w:r>
          </w:p>
        </w:tc>
        <w:tc>
          <w:tcPr>
            <w:tcW w:w="788" w:type="dxa"/>
          </w:tcPr>
          <w:p w14:paraId="4AFCDF7C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C</w:t>
            </w:r>
          </w:p>
        </w:tc>
        <w:tc>
          <w:tcPr>
            <w:tcW w:w="1082" w:type="dxa"/>
            <w:shd w:val="clear" w:color="auto" w:fill="0080C0"/>
          </w:tcPr>
          <w:p w14:paraId="6216649F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B</w:t>
            </w:r>
          </w:p>
        </w:tc>
        <w:tc>
          <w:tcPr>
            <w:tcW w:w="751" w:type="dxa"/>
          </w:tcPr>
          <w:p w14:paraId="101F1A08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2</w:t>
            </w:r>
          </w:p>
        </w:tc>
        <w:tc>
          <w:tcPr>
            <w:tcW w:w="775" w:type="dxa"/>
          </w:tcPr>
          <w:p w14:paraId="14365876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03EC5926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B</w:t>
            </w:r>
          </w:p>
        </w:tc>
      </w:tr>
      <w:tr w:rsidR="00834563" w:rsidRPr="00D46D0E" w14:paraId="41F5A2C4" w14:textId="77777777" w:rsidTr="00044B68">
        <w:trPr>
          <w:trHeight w:val="2683"/>
        </w:trPr>
        <w:tc>
          <w:tcPr>
            <w:tcW w:w="758" w:type="dxa"/>
            <w:vMerge/>
          </w:tcPr>
          <w:p w14:paraId="245BD5B8" w14:textId="77777777" w:rsidR="00834563" w:rsidRPr="00D46D0E" w:rsidRDefault="00834563">
            <w:pPr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078" w:type="dxa"/>
            <w:vMerge/>
          </w:tcPr>
          <w:p w14:paraId="7222BC12" w14:textId="77777777" w:rsidR="00834563" w:rsidRPr="00D46D0E" w:rsidRDefault="00834563">
            <w:pPr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5200" w:type="dxa"/>
            <w:vMerge/>
          </w:tcPr>
          <w:p w14:paraId="399602A3" w14:textId="77777777" w:rsidR="00834563" w:rsidRPr="00D46D0E" w:rsidRDefault="00834563">
            <w:pPr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1632" w:type="dxa"/>
            <w:vMerge/>
          </w:tcPr>
          <w:p w14:paraId="4AF00A0B" w14:textId="77777777" w:rsidR="00834563" w:rsidRPr="00D46D0E" w:rsidRDefault="00834563">
            <w:pPr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794" w:type="dxa"/>
            <w:shd w:val="clear" w:color="auto" w:fill="E0E0E0"/>
          </w:tcPr>
          <w:p w14:paraId="75BE383C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b/>
                <w:bCs/>
                <w:sz w:val="16"/>
                <w:szCs w:val="16"/>
                <w:lang w:val="es-BO"/>
              </w:rPr>
              <w:t>E</w:t>
            </w:r>
          </w:p>
        </w:tc>
        <w:tc>
          <w:tcPr>
            <w:tcW w:w="784" w:type="dxa"/>
          </w:tcPr>
          <w:p w14:paraId="1D8059BF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4</w:t>
            </w:r>
          </w:p>
        </w:tc>
        <w:tc>
          <w:tcPr>
            <w:tcW w:w="788" w:type="dxa"/>
          </w:tcPr>
          <w:p w14:paraId="5FFFC947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C</w:t>
            </w:r>
          </w:p>
        </w:tc>
        <w:tc>
          <w:tcPr>
            <w:tcW w:w="1082" w:type="dxa"/>
            <w:shd w:val="clear" w:color="auto" w:fill="FFFF00"/>
          </w:tcPr>
          <w:p w14:paraId="72D9A146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M</w:t>
            </w:r>
          </w:p>
        </w:tc>
        <w:tc>
          <w:tcPr>
            <w:tcW w:w="751" w:type="dxa"/>
          </w:tcPr>
          <w:p w14:paraId="220CFDA2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4</w:t>
            </w:r>
          </w:p>
        </w:tc>
        <w:tc>
          <w:tcPr>
            <w:tcW w:w="775" w:type="dxa"/>
          </w:tcPr>
          <w:p w14:paraId="676AE56C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0AF05B92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B</w:t>
            </w:r>
          </w:p>
        </w:tc>
      </w:tr>
      <w:tr w:rsidR="00834563" w14:paraId="4E8EE013" w14:textId="77777777">
        <w:tc>
          <w:tcPr>
            <w:tcW w:w="758" w:type="dxa"/>
          </w:tcPr>
          <w:p w14:paraId="077211EC" w14:textId="77777777" w:rsidR="00834563" w:rsidRPr="00D46D0E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4.</w:t>
            </w:r>
          </w:p>
        </w:tc>
        <w:tc>
          <w:tcPr>
            <w:tcW w:w="1078" w:type="dxa"/>
          </w:tcPr>
          <w:p w14:paraId="3E26409C" w14:textId="77777777" w:rsidR="00834563" w:rsidRPr="00D46D0E" w:rsidRDefault="00D46D0E">
            <w:pPr>
              <w:spacing w:before="60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D46D0E">
              <w:rPr>
                <w:rFonts w:ascii="Arial" w:hAnsi="Arial" w:cs="Arial"/>
                <w:sz w:val="16"/>
                <w:szCs w:val="16"/>
                <w:lang w:val="es-BO"/>
              </w:rPr>
              <w:t>4.14.2.</w:t>
            </w:r>
          </w:p>
        </w:tc>
        <w:tc>
          <w:tcPr>
            <w:tcW w:w="5200" w:type="dxa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5"/>
              <w:gridCol w:w="4995"/>
            </w:tblGrid>
            <w:tr w:rsidR="00834563" w:rsidRPr="00044B68" w14:paraId="2592A925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C896B26" w14:textId="77777777" w:rsidR="00834563" w:rsidRPr="00D46D0E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BO"/>
                    </w:rPr>
                  </w:pPr>
                  <w:r w:rsidRPr="00D46D0E">
                    <w:rPr>
                      <w:rFonts w:ascii="Arial" w:hAnsi="Arial" w:cs="Arial"/>
                      <w:sz w:val="16"/>
                      <w:szCs w:val="16"/>
                      <w:lang w:val="es-BO"/>
                    </w:rPr>
                    <w:t xml:space="preserve">9. 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7FC7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Instalar válvula de bloqueo manual aguas abajo a válvula de retención VVE-1050 del cuadro de la ESDV-1003, para poder hacer mantenimiento a la ESDV-1003</w:t>
                  </w:r>
                </w:p>
              </w:tc>
            </w:tr>
          </w:tbl>
          <w:p w14:paraId="066FBE98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</w:tcPr>
          <w:p w14:paraId="07EF920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0CC1007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633B8F5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7EF82DEA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082" w:type="dxa"/>
            <w:shd w:val="clear" w:color="auto" w:fill="0080C0"/>
          </w:tcPr>
          <w:p w14:paraId="1206544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17DB315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4F005D0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5BFE870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3F4E9D61" w14:textId="77777777">
        <w:tc>
          <w:tcPr>
            <w:tcW w:w="758" w:type="dxa"/>
          </w:tcPr>
          <w:p w14:paraId="5A370C2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1078" w:type="dxa"/>
          </w:tcPr>
          <w:p w14:paraId="0CD9E014" w14:textId="77777777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5.5.1. </w:t>
            </w:r>
          </w:p>
        </w:tc>
        <w:tc>
          <w:tcPr>
            <w:tcW w:w="5200" w:type="dxa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6"/>
              <w:gridCol w:w="4904"/>
            </w:tblGrid>
            <w:tr w:rsidR="00834563" w:rsidRPr="00044B68" w14:paraId="2F4B0558" w14:textId="77777777"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D7623AD" w14:textId="77777777" w:rsidR="00834563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10. </w:t>
                  </w: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37777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Indicar en P&amp;ID válvula de retención en la succión de las bombas P-9001/9002 dentro de las cámaras</w:t>
                  </w:r>
                </w:p>
              </w:tc>
            </w:tr>
          </w:tbl>
          <w:p w14:paraId="6C18D722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</w:tcPr>
          <w:p w14:paraId="10022F3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3ED9E7D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489FBF9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88" w:type="dxa"/>
          </w:tcPr>
          <w:p w14:paraId="33856B8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1082" w:type="dxa"/>
            <w:shd w:val="clear" w:color="auto" w:fill="0080C0"/>
          </w:tcPr>
          <w:p w14:paraId="207A0C6E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053BA64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75" w:type="dxa"/>
          </w:tcPr>
          <w:p w14:paraId="5C662B0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36" w:type="dxa"/>
            <w:shd w:val="clear" w:color="auto" w:fill="0080C0"/>
          </w:tcPr>
          <w:p w14:paraId="568ECCAB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421EFB12" w14:textId="77777777">
        <w:tc>
          <w:tcPr>
            <w:tcW w:w="758" w:type="dxa"/>
          </w:tcPr>
          <w:p w14:paraId="45F8633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1078" w:type="dxa"/>
          </w:tcPr>
          <w:p w14:paraId="6503DC32" w14:textId="77777777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5.13.1.</w:t>
            </w:r>
          </w:p>
        </w:tc>
        <w:tc>
          <w:tcPr>
            <w:tcW w:w="5200" w:type="dxa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6"/>
              <w:gridCol w:w="4904"/>
            </w:tblGrid>
            <w:tr w:rsidR="00834563" w:rsidRPr="00044B68" w14:paraId="11FD517D" w14:textId="77777777"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0235D7A" w14:textId="77777777" w:rsidR="00834563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11. </w:t>
                  </w: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60010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Analizar instalar conexión de Puesta a Tierra para camiones de descarga de cámaras</w:t>
                  </w:r>
                </w:p>
              </w:tc>
            </w:tr>
          </w:tbl>
          <w:p w14:paraId="3E2BDC90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</w:tcPr>
          <w:p w14:paraId="33B943F9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6571821E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4E99B0D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7922BA5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82" w:type="dxa"/>
            <w:shd w:val="clear" w:color="auto" w:fill="0080C0"/>
          </w:tcPr>
          <w:p w14:paraId="4453945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556DB2E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6C74383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36" w:type="dxa"/>
            <w:shd w:val="clear" w:color="auto" w:fill="0080C0"/>
          </w:tcPr>
          <w:p w14:paraId="419D1442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54BBA1FD" w14:textId="77777777">
        <w:tc>
          <w:tcPr>
            <w:tcW w:w="758" w:type="dxa"/>
            <w:vMerge w:val="restart"/>
          </w:tcPr>
          <w:p w14:paraId="3992CC3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1078" w:type="dxa"/>
            <w:vMerge w:val="restart"/>
          </w:tcPr>
          <w:p w14:paraId="4FB20CD0" w14:textId="77777777" w:rsidR="00834563" w:rsidRDefault="00D46D0E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5.13.2.</w:t>
            </w:r>
          </w:p>
        </w:tc>
        <w:tc>
          <w:tcPr>
            <w:tcW w:w="5200" w:type="dxa"/>
            <w:vMerge w:val="restart"/>
          </w:tcPr>
          <w:tbl>
            <w:tblPr>
              <w:tblW w:w="518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6"/>
              <w:gridCol w:w="4904"/>
            </w:tblGrid>
            <w:tr w:rsidR="00834563" w:rsidRPr="00044B68" w14:paraId="328099FD" w14:textId="77777777"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CA25A6E" w14:textId="77777777" w:rsidR="00834563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12. </w:t>
                  </w: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42A1D" w14:textId="77777777" w:rsidR="00834563" w:rsidRPr="00FE286D" w:rsidRDefault="00D46D0E">
                  <w:pPr>
                    <w:spacing w:before="60"/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</w:pPr>
                  <w:r w:rsidRPr="00FE286D">
                    <w:rPr>
                      <w:rFonts w:ascii="Arial" w:hAnsi="Arial" w:cs="Arial"/>
                      <w:sz w:val="16"/>
                      <w:szCs w:val="16"/>
                      <w:lang w:val="es-AR"/>
                    </w:rPr>
                    <w:t>Analizar canalizar venteos de cilindros (packing) de compresores a lugar seguro (y posibilidad de incluir un separador de líquidos)</w:t>
                  </w:r>
                </w:p>
              </w:tc>
            </w:tr>
          </w:tbl>
          <w:p w14:paraId="0AA057B4" w14:textId="77777777" w:rsidR="00834563" w:rsidRPr="00FE286D" w:rsidRDefault="00834563">
            <w:pPr>
              <w:spacing w:after="60"/>
              <w:rPr>
                <w:rFonts w:ascii="Arial" w:hAnsi="Arial" w:cs="Arial"/>
                <w:sz w:val="16"/>
                <w:szCs w:val="16"/>
                <w:lang w:val="es-AR"/>
              </w:rPr>
            </w:pPr>
          </w:p>
        </w:tc>
        <w:tc>
          <w:tcPr>
            <w:tcW w:w="1632" w:type="dxa"/>
            <w:vMerge w:val="restart"/>
          </w:tcPr>
          <w:p w14:paraId="4451513C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IPE</w:t>
            </w:r>
          </w:p>
        </w:tc>
        <w:tc>
          <w:tcPr>
            <w:tcW w:w="794" w:type="dxa"/>
            <w:shd w:val="clear" w:color="auto" w:fill="E0E0E0"/>
          </w:tcPr>
          <w:p w14:paraId="7EA6312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784" w:type="dxa"/>
          </w:tcPr>
          <w:p w14:paraId="48B8948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6C263C6E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082" w:type="dxa"/>
            <w:shd w:val="clear" w:color="auto" w:fill="0080C0"/>
          </w:tcPr>
          <w:p w14:paraId="11E935CF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3AC204C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403DA061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36" w:type="dxa"/>
            <w:shd w:val="clear" w:color="auto" w:fill="0080C0"/>
          </w:tcPr>
          <w:p w14:paraId="173E8687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  <w:tr w:rsidR="00834563" w14:paraId="562ACEDE" w14:textId="77777777">
        <w:tc>
          <w:tcPr>
            <w:tcW w:w="758" w:type="dxa"/>
            <w:vMerge/>
          </w:tcPr>
          <w:p w14:paraId="3D42428C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31FFD452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0" w:type="dxa"/>
            <w:vMerge/>
          </w:tcPr>
          <w:p w14:paraId="3E811100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vMerge/>
          </w:tcPr>
          <w:p w14:paraId="78760437" w14:textId="77777777" w:rsidR="00834563" w:rsidRDefault="0083456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E0E0E0"/>
          </w:tcPr>
          <w:p w14:paraId="628C9C4D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784" w:type="dxa"/>
          </w:tcPr>
          <w:p w14:paraId="47552C9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8" w:type="dxa"/>
          </w:tcPr>
          <w:p w14:paraId="299C3E9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082" w:type="dxa"/>
            <w:shd w:val="clear" w:color="auto" w:fill="0080C0"/>
          </w:tcPr>
          <w:p w14:paraId="6A195D33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51" w:type="dxa"/>
          </w:tcPr>
          <w:p w14:paraId="6A195886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5" w:type="dxa"/>
          </w:tcPr>
          <w:p w14:paraId="6965F534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36" w:type="dxa"/>
            <w:shd w:val="clear" w:color="auto" w:fill="0080C0"/>
          </w:tcPr>
          <w:p w14:paraId="077CB4A5" w14:textId="77777777" w:rsidR="00834563" w:rsidRDefault="00D46D0E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</w:tr>
    </w:tbl>
    <w:p w14:paraId="3DBD275E" w14:textId="77777777" w:rsidR="00834563" w:rsidRDefault="00834563">
      <w:pPr>
        <w:rPr>
          <w:rFonts w:ascii="Arial" w:hAnsi="Arial" w:cs="Arial"/>
          <w:sz w:val="16"/>
          <w:szCs w:val="16"/>
        </w:rPr>
      </w:pPr>
    </w:p>
    <w:p w14:paraId="36D17288" w14:textId="77777777" w:rsidR="00125920" w:rsidRDefault="00125920" w:rsidP="00125920">
      <w:pPr>
        <w:rPr>
          <w:rFonts w:ascii="Arial" w:hAnsi="Arial" w:cs="Arial"/>
          <w:b/>
          <w:bCs/>
          <w:sz w:val="28"/>
          <w:szCs w:val="28"/>
          <w:lang w:val="es-AR"/>
        </w:rPr>
      </w:pPr>
      <w:r w:rsidRPr="00125920">
        <w:rPr>
          <w:rFonts w:ascii="Arial" w:hAnsi="Arial" w:cs="Arial"/>
          <w:b/>
          <w:bCs/>
          <w:sz w:val="28"/>
          <w:szCs w:val="28"/>
          <w:lang w:val="es-AR"/>
        </w:rPr>
        <w:t>Recomendaciones generales:</w:t>
      </w:r>
    </w:p>
    <w:p w14:paraId="63A0D866" w14:textId="77777777" w:rsidR="00125920" w:rsidRPr="00125920" w:rsidRDefault="00125920" w:rsidP="00125920">
      <w:pPr>
        <w:rPr>
          <w:rFonts w:ascii="Arial" w:hAnsi="Arial" w:cs="Arial"/>
          <w:b/>
          <w:bCs/>
          <w:sz w:val="28"/>
          <w:szCs w:val="28"/>
          <w:lang w:val="es-AR"/>
        </w:rPr>
      </w:pPr>
    </w:p>
    <w:p w14:paraId="1C2395E3" w14:textId="77777777" w:rsidR="00125920" w:rsidRPr="00125920" w:rsidRDefault="00125920" w:rsidP="00125920">
      <w:pPr>
        <w:rPr>
          <w:rFonts w:ascii="Arial" w:hAnsi="Arial" w:cs="Arial"/>
          <w:lang w:val="es-AR"/>
        </w:rPr>
      </w:pPr>
      <w:r w:rsidRPr="00125920">
        <w:rPr>
          <w:rFonts w:ascii="Arial" w:hAnsi="Arial" w:cs="Arial"/>
          <w:lang w:val="es-AR"/>
        </w:rPr>
        <w:t>1- Verificar la performance de los compresores a las nuevas condiciones del sitio.</w:t>
      </w:r>
    </w:p>
    <w:p w14:paraId="1C39EE13" w14:textId="2C9AA1B7" w:rsidR="00125920" w:rsidRPr="00125920" w:rsidRDefault="00125920" w:rsidP="00125920">
      <w:pPr>
        <w:rPr>
          <w:rFonts w:ascii="Arial" w:hAnsi="Arial" w:cs="Arial"/>
          <w:lang w:val="es-AR"/>
        </w:rPr>
      </w:pPr>
      <w:r w:rsidRPr="00125920">
        <w:rPr>
          <w:rFonts w:ascii="Arial" w:hAnsi="Arial" w:cs="Arial"/>
          <w:lang w:val="es-AR"/>
        </w:rPr>
        <w:t>2- Indicar en P&amp;ID la pendiente del colector de venteo</w:t>
      </w:r>
      <w:r>
        <w:rPr>
          <w:rFonts w:ascii="Arial" w:hAnsi="Arial" w:cs="Arial"/>
          <w:lang w:val="es-AR"/>
        </w:rPr>
        <w:t>.</w:t>
      </w:r>
    </w:p>
    <w:p w14:paraId="756F02C0" w14:textId="433AA918" w:rsidR="00125920" w:rsidRPr="00125920" w:rsidRDefault="00125920" w:rsidP="00125920">
      <w:pPr>
        <w:rPr>
          <w:rFonts w:ascii="Arial" w:hAnsi="Arial" w:cs="Arial"/>
          <w:lang w:val="es-AR"/>
        </w:rPr>
      </w:pPr>
      <w:r w:rsidRPr="00125920">
        <w:rPr>
          <w:rFonts w:ascii="Arial" w:hAnsi="Arial" w:cs="Arial"/>
          <w:lang w:val="es-AR"/>
        </w:rPr>
        <w:t>3- Analizar modificar lógica de permisivo de arranque de compresores por presión de gas combustible y no por posición de válvula SDV-1007/1008</w:t>
      </w:r>
      <w:r>
        <w:rPr>
          <w:rFonts w:ascii="Arial" w:hAnsi="Arial" w:cs="Arial"/>
          <w:lang w:val="es-AR"/>
        </w:rPr>
        <w:t>.</w:t>
      </w:r>
    </w:p>
    <w:p w14:paraId="3EC97444" w14:textId="3C75DFBA" w:rsidR="00125920" w:rsidRPr="00125920" w:rsidRDefault="00125920" w:rsidP="00125920">
      <w:pPr>
        <w:rPr>
          <w:rFonts w:ascii="Arial" w:hAnsi="Arial" w:cs="Arial"/>
          <w:lang w:val="es-AR"/>
        </w:rPr>
      </w:pPr>
      <w:r w:rsidRPr="00125920">
        <w:rPr>
          <w:rFonts w:ascii="Arial" w:hAnsi="Arial" w:cs="Arial"/>
          <w:lang w:val="es-AR"/>
        </w:rPr>
        <w:t>4- Analizar incluir lógica de inhibición general del sistema ESD de planta</w:t>
      </w:r>
      <w:r>
        <w:rPr>
          <w:rFonts w:ascii="Arial" w:hAnsi="Arial" w:cs="Arial"/>
          <w:lang w:val="es-AR"/>
        </w:rPr>
        <w:t>.</w:t>
      </w:r>
    </w:p>
    <w:p w14:paraId="68212772" w14:textId="1114AC87" w:rsidR="00125920" w:rsidRPr="00125920" w:rsidRDefault="00125920" w:rsidP="00125920">
      <w:pPr>
        <w:rPr>
          <w:rFonts w:ascii="Arial" w:hAnsi="Arial" w:cs="Arial"/>
          <w:lang w:val="es-AR"/>
        </w:rPr>
      </w:pPr>
      <w:r w:rsidRPr="00125920">
        <w:rPr>
          <w:rFonts w:ascii="Arial" w:hAnsi="Arial" w:cs="Arial"/>
          <w:lang w:val="es-AR"/>
        </w:rPr>
        <w:t>5- Analizar protecciones de transferencia de línea eléctrica</w:t>
      </w:r>
      <w:r>
        <w:rPr>
          <w:rFonts w:ascii="Arial" w:hAnsi="Arial" w:cs="Arial"/>
          <w:lang w:val="es-AR"/>
        </w:rPr>
        <w:t>.</w:t>
      </w:r>
    </w:p>
    <w:sectPr w:rsidR="00125920" w:rsidRPr="00125920">
      <w:headerReference w:type="default" r:id="rId16"/>
      <w:footerReference w:type="default" r:id="rId17"/>
      <w:pgSz w:w="16838" w:h="11906" w:orient="landscape" w:code="9"/>
      <w:pgMar w:top="1080" w:right="1080" w:bottom="1080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FFDF0" w14:textId="77777777" w:rsidR="00AA5F9C" w:rsidRDefault="00AA5F9C">
      <w:r>
        <w:separator/>
      </w:r>
    </w:p>
  </w:endnote>
  <w:endnote w:type="continuationSeparator" w:id="0">
    <w:p w14:paraId="44A560C1" w14:textId="77777777" w:rsidR="00AA5F9C" w:rsidRDefault="00AA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A906F" w14:textId="77777777" w:rsidR="00834563" w:rsidRDefault="00834563">
    <w:pPr>
      <w:jc w:val="right"/>
      <w:rPr>
        <w:rFonts w:ascii="Arial" w:hAnsi="Arial" w:cs="Arial"/>
        <w:sz w:val="16"/>
        <w:szCs w:val="16"/>
      </w:rPr>
    </w:pPr>
  </w:p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893"/>
      <w:gridCol w:w="4892"/>
      <w:gridCol w:w="4893"/>
    </w:tblGrid>
    <w:tr w:rsidR="00834563" w14:paraId="6A8DAA69" w14:textId="77777777">
      <w:tc>
        <w:tcPr>
          <w:tcW w:w="4893" w:type="dxa"/>
        </w:tcPr>
        <w:p w14:paraId="5E83A965" w14:textId="3D1A0431" w:rsidR="00834563" w:rsidRPr="00FE286D" w:rsidRDefault="00834563">
          <w:pPr>
            <w:rPr>
              <w:rFonts w:ascii="Arial" w:hAnsi="Arial" w:cs="Arial"/>
              <w:sz w:val="16"/>
              <w:szCs w:val="16"/>
              <w:lang w:val="es-AR"/>
            </w:rPr>
          </w:pPr>
        </w:p>
      </w:tc>
      <w:tc>
        <w:tcPr>
          <w:tcW w:w="4892" w:type="dxa"/>
        </w:tcPr>
        <w:p w14:paraId="7C0674EF" w14:textId="56DB1BCB" w:rsidR="00834563" w:rsidRDefault="00D46D0E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of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4893" w:type="dxa"/>
        </w:tcPr>
        <w:p w14:paraId="1EC0EE96" w14:textId="77777777" w:rsidR="00834563" w:rsidRDefault="00834563">
          <w:pPr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12971" w14:textId="77777777" w:rsidR="00AA5F9C" w:rsidRDefault="00AA5F9C">
      <w:r>
        <w:separator/>
      </w:r>
    </w:p>
  </w:footnote>
  <w:footnote w:type="continuationSeparator" w:id="0">
    <w:p w14:paraId="7CFDC1C8" w14:textId="77777777" w:rsidR="00AA5F9C" w:rsidRDefault="00AA5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26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263"/>
      <w:gridCol w:w="5670"/>
      <w:gridCol w:w="4893"/>
    </w:tblGrid>
    <w:tr w:rsidR="00834563" w14:paraId="57DD4CB5" w14:textId="77777777" w:rsidTr="00FE286D">
      <w:tc>
        <w:tcPr>
          <w:tcW w:w="4263" w:type="dxa"/>
        </w:tcPr>
        <w:p w14:paraId="32B6FD8E" w14:textId="73B0A825" w:rsidR="00834563" w:rsidRDefault="00EF3FF0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BO" w:eastAsia="es-BO"/>
            </w:rPr>
            <w:drawing>
              <wp:inline distT="0" distB="0" distL="0" distR="0" wp14:anchorId="5B2F882E" wp14:editId="21A52A1C">
                <wp:extent cx="1040740" cy="593766"/>
                <wp:effectExtent l="0" t="0" r="0" b="0"/>
                <wp:docPr id="81079329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0793299" name="Imagen 810793299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6445" cy="597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312A106C" w14:textId="65E4B8B6" w:rsidR="00834563" w:rsidRPr="00FE286D" w:rsidRDefault="00D46D0E">
          <w:pPr>
            <w:jc w:val="center"/>
            <w:rPr>
              <w:rFonts w:ascii="Arial" w:hAnsi="Arial" w:cs="Arial"/>
              <w:sz w:val="16"/>
              <w:szCs w:val="16"/>
              <w:lang w:val="es-AR"/>
            </w:rPr>
          </w:pPr>
          <w:r w:rsidRPr="00FE286D">
            <w:rPr>
              <w:rFonts w:ascii="Arial" w:hAnsi="Arial" w:cs="Arial"/>
              <w:sz w:val="16"/>
              <w:szCs w:val="16"/>
              <w:lang w:val="es-AR"/>
            </w:rPr>
            <w:t>HAZOP YPFBT PROYECTO 4ta Y 5ta UNIDAD COMPRESION EN COLPA</w:t>
          </w:r>
        </w:p>
      </w:tc>
      <w:tc>
        <w:tcPr>
          <w:tcW w:w="4893" w:type="dxa"/>
        </w:tcPr>
        <w:p w14:paraId="35C4BEED" w14:textId="1DE10D84" w:rsidR="00834563" w:rsidRDefault="001574A4">
          <w:pPr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0FF84DE7" wp14:editId="30789B0D">
                <wp:extent cx="1038225" cy="809625"/>
                <wp:effectExtent l="0" t="0" r="0" b="0"/>
                <wp:docPr id="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FD4A7F3" w14:textId="77777777" w:rsidR="00834563" w:rsidRDefault="00834563">
    <w:pPr>
      <w:jc w:val="right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63"/>
    <w:rsid w:val="00044B68"/>
    <w:rsid w:val="00125920"/>
    <w:rsid w:val="00140E81"/>
    <w:rsid w:val="001574A4"/>
    <w:rsid w:val="00391FD1"/>
    <w:rsid w:val="004C35A0"/>
    <w:rsid w:val="00531A3D"/>
    <w:rsid w:val="005F0FA2"/>
    <w:rsid w:val="006D4478"/>
    <w:rsid w:val="00834563"/>
    <w:rsid w:val="009B4C97"/>
    <w:rsid w:val="00AA5F9C"/>
    <w:rsid w:val="00B42441"/>
    <w:rsid w:val="00D46D0E"/>
    <w:rsid w:val="00ED6C4B"/>
    <w:rsid w:val="00EF3FF0"/>
    <w:rsid w:val="00FE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B4F89E"/>
  <w15:docId w15:val="{291072B9-E560-48CD-A540-EEE33287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286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286D"/>
    <w:rPr>
      <w:sz w:val="24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E286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286D"/>
    <w:rPr>
      <w:sz w:val="24"/>
      <w:szCs w:val="24"/>
      <w:lang w:eastAsia="en-US"/>
    </w:rPr>
  </w:style>
  <w:style w:type="table" w:styleId="Tablaconcuadrcula">
    <w:name w:val="Table Grid"/>
    <w:basedOn w:val="Tablanormal"/>
    <w:uiPriority w:val="99"/>
    <w:rsid w:val="00D46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a4cf13-0f8d-4fdc-af46-004d289aa77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528487D7D5B343B7F32EBF5A48D192" ma:contentTypeVersion="11" ma:contentTypeDescription="Crear nuevo documento." ma:contentTypeScope="" ma:versionID="7e0138b2de5c32b436876d3b4a124992">
  <xsd:schema xmlns:xsd="http://www.w3.org/2001/XMLSchema" xmlns:xs="http://www.w3.org/2001/XMLSchema" xmlns:p="http://schemas.microsoft.com/office/2006/metadata/properties" xmlns:ns2="9ea4cf13-0f8d-4fdc-af46-004d289aa77c" targetNamespace="http://schemas.microsoft.com/office/2006/metadata/properties" ma:root="true" ma:fieldsID="804444cff8260fd29552564597bb30ec" ns2:_="">
    <xsd:import namespace="9ea4cf13-0f8d-4fdc-af46-004d289aa7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4cf13-0f8d-4fdc-af46-004d289aa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3b41ccc5-2a6d-4145-95f8-2d3bc519b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82FAD-E2B7-4208-9AC5-06BA889CDC7E}">
  <ds:schemaRefs>
    <ds:schemaRef ds:uri="http://schemas.microsoft.com/office/2006/metadata/properties"/>
    <ds:schemaRef ds:uri="http://schemas.microsoft.com/office/infopath/2007/PartnerControls"/>
    <ds:schemaRef ds:uri="9ea4cf13-0f8d-4fdc-af46-004d289aa77c"/>
  </ds:schemaRefs>
</ds:datastoreItem>
</file>

<file path=customXml/itemProps2.xml><?xml version="1.0" encoding="utf-8"?>
<ds:datastoreItem xmlns:ds="http://schemas.openxmlformats.org/officeDocument/2006/customXml" ds:itemID="{834B4FFD-3865-468B-B4D7-6BBC1F141B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C98E45-8B7C-41B8-9639-0BE266F648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creator>Mileidy</dc:creator>
  <cp:lastModifiedBy>Mileidy Severiche Avila</cp:lastModifiedBy>
  <cp:revision>2</cp:revision>
  <cp:lastPrinted>2025-11-03T12:56:00Z</cp:lastPrinted>
  <dcterms:created xsi:type="dcterms:W3CDTF">2025-12-08T16:20:00Z</dcterms:created>
  <dcterms:modified xsi:type="dcterms:W3CDTF">2025-12-08T16:20:00Z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0x01010010528487D7D5B343B7F32EBF5A48D192</vt:lpwstr>
  </property>
</Properties>
</file>